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DE0B" w14:textId="77777777" w:rsidR="00E92674" w:rsidRDefault="00BC7BDB">
      <w:r>
        <w:rPr>
          <w:noProof/>
        </w:rPr>
        <w:drawing>
          <wp:inline distT="0" distB="0" distL="0" distR="0" wp14:anchorId="50960DF9" wp14:editId="27A2FD00">
            <wp:extent cx="1776413" cy="1470134"/>
            <wp:effectExtent l="0" t="0" r="0" b="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470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13B6B" w14:textId="77777777" w:rsidR="00E92674" w:rsidRDefault="00BC7BDB">
      <w:pPr>
        <w:jc w:val="center"/>
        <w:rPr>
          <w:rFonts w:ascii="Overlock" w:eastAsia="Overlock" w:hAnsi="Overlock" w:cs="Overlock"/>
          <w:b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>MAND 2021 ANNUAL MEETING – CALL FOR SPEAKERS</w:t>
      </w:r>
    </w:p>
    <w:p w14:paraId="1A912F2C" w14:textId="77777777" w:rsidR="00E92674" w:rsidRDefault="00E92674"/>
    <w:p w14:paraId="4ECB6068" w14:textId="77777777" w:rsidR="00E92674" w:rsidRDefault="00BC7BDB">
      <w:r>
        <w:t>The Minnesota Academy of Nutrition and Dietetics will hold its 2021 Annual Meeting on Monday, May 3</w:t>
      </w:r>
      <w:r>
        <w:rPr>
          <w:vertAlign w:val="superscript"/>
        </w:rPr>
        <w:t>rd</w:t>
      </w:r>
      <w:r>
        <w:t xml:space="preserve"> (full day) and Tuesday, May 4</w:t>
      </w:r>
      <w:r>
        <w:rPr>
          <w:vertAlign w:val="superscript"/>
        </w:rPr>
        <w:t>th</w:t>
      </w:r>
      <w:r>
        <w:t xml:space="preserve"> (half-day) at the Marriott Southwest in Minneapolis. The theme of the annual meeting is </w:t>
      </w:r>
      <w:r>
        <w:rPr>
          <w:b/>
          <w:i/>
        </w:rPr>
        <w:t>Progressing Through the Pandemics</w:t>
      </w:r>
      <w:r>
        <w:t xml:space="preserve">, </w:t>
      </w:r>
      <w:r>
        <w:rPr>
          <w:color w:val="222222"/>
          <w:highlight w:val="white"/>
        </w:rPr>
        <w:t>focusing on what we have learned during the pandemics of coronavirus and racism and how we can move forward as a country.</w:t>
      </w:r>
    </w:p>
    <w:p w14:paraId="6B3E632D" w14:textId="77777777" w:rsidR="00E92674" w:rsidRDefault="00E92674"/>
    <w:p w14:paraId="536F96AE" w14:textId="77777777" w:rsidR="00E92674" w:rsidRDefault="00BC7BDB">
      <w:r>
        <w:t>There wil</w:t>
      </w:r>
      <w:r>
        <w:t xml:space="preserve">l be three tracks for our annual meeting: </w:t>
      </w:r>
    </w:p>
    <w:p w14:paraId="7AF46940" w14:textId="77777777" w:rsidR="00E92674" w:rsidRDefault="00BC7BDB">
      <w:r>
        <w:t xml:space="preserve">Track 1 - Progressing Through the Pandemics </w:t>
      </w:r>
    </w:p>
    <w:p w14:paraId="0D76A680" w14:textId="77777777" w:rsidR="00E92674" w:rsidRDefault="00BC7BDB">
      <w:r>
        <w:t>Track 2 – Leadership</w:t>
      </w:r>
    </w:p>
    <w:p w14:paraId="1BDE45DB" w14:textId="77777777" w:rsidR="00E92674" w:rsidRDefault="00BC7BDB">
      <w:r>
        <w:t>Track 3 – Clinical</w:t>
      </w:r>
    </w:p>
    <w:p w14:paraId="392AB5BB" w14:textId="77777777" w:rsidR="00E92674" w:rsidRDefault="00E92674"/>
    <w:p w14:paraId="368A923D" w14:textId="77777777" w:rsidR="00E92674" w:rsidRDefault="00BC7BDB">
      <w:r>
        <w:t xml:space="preserve">Keynote Speakers will be limited to Track 1 and we anticipate 4-5 Keynote Speakers. Break-out Sessions will be offered for all </w:t>
      </w:r>
      <w:r>
        <w:t xml:space="preserve">three tracks, with 10-12 Break-out Sessions expected. Sessions must be Level II or Level III. </w:t>
      </w:r>
    </w:p>
    <w:p w14:paraId="7D18F6B0" w14:textId="77777777" w:rsidR="00E92674" w:rsidRDefault="00E92674"/>
    <w:p w14:paraId="41BCB78C" w14:textId="77777777" w:rsidR="00E92674" w:rsidRDefault="00BC7BDB">
      <w:pPr>
        <w:pBdr>
          <w:left w:val="none" w:sz="0" w:space="8" w:color="auto"/>
        </w:pBdr>
        <w:shd w:val="clear" w:color="auto" w:fill="FFFFFF"/>
        <w:spacing w:after="180" w:line="288" w:lineRule="auto"/>
        <w:ind w:right="160"/>
      </w:pPr>
      <w:r>
        <w:t>Category II: Assumes that the participant has general knowledge of the literature and professional practice within the area(s) covered. The focus of the activit</w:t>
      </w:r>
      <w:r>
        <w:t>y is to enhance knowledge and application by the participant.</w:t>
      </w:r>
    </w:p>
    <w:p w14:paraId="7FDA4834" w14:textId="77777777" w:rsidR="00E92674" w:rsidRDefault="00BC7BDB">
      <w:pPr>
        <w:pBdr>
          <w:left w:val="none" w:sz="0" w:space="8" w:color="auto"/>
        </w:pBdr>
        <w:shd w:val="clear" w:color="auto" w:fill="FFFFFF"/>
        <w:spacing w:after="180" w:line="288" w:lineRule="auto"/>
        <w:ind w:right="160"/>
      </w:pPr>
      <w:r>
        <w:t>Category III: Assumes that the participant has thorough knowledge of the literature and professional practice within the area(s) covered. The focus of the activity is synthesis of recent advance</w:t>
      </w:r>
      <w:r>
        <w:t>s and future directions.</w:t>
      </w:r>
    </w:p>
    <w:p w14:paraId="7410E4A1" w14:textId="77777777" w:rsidR="00E92674" w:rsidRDefault="00BC7BDB">
      <w:r>
        <w:t xml:space="preserve">We will host a pre-Annual Meeting virtual preview session in March 2021 with one of our Keynote Speakers. If this is of interest to you, please include that in your application. </w:t>
      </w:r>
    </w:p>
    <w:p w14:paraId="471FEA80" w14:textId="77777777" w:rsidR="00E92674" w:rsidRDefault="00E92674"/>
    <w:p w14:paraId="2E740DA3" w14:textId="77777777" w:rsidR="00E92674" w:rsidRDefault="00BC7BDB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DESIRED SUBJECT MATTER FOR TRACK 1 – Progressing Th</w:t>
      </w:r>
      <w:r>
        <w:rPr>
          <w:rFonts w:ascii="Overlock" w:eastAsia="Overlock" w:hAnsi="Overlock" w:cs="Overlock"/>
          <w:b/>
          <w:sz w:val="24"/>
          <w:szCs w:val="24"/>
        </w:rPr>
        <w:t>rough the Pandemics</w:t>
      </w:r>
    </w:p>
    <w:p w14:paraId="353BF797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the COVID Pandemic has impacted dietitians and/or clinical care; exposed inequities in access to healthcare and/or healthy foods; impacted vulnerable populations; exposed weaknesses in our supply chains, etc.</w:t>
      </w:r>
    </w:p>
    <w:p w14:paraId="5896195F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Future opportunities fo</w:t>
      </w:r>
      <w:r>
        <w:rPr>
          <w:color w:val="000000"/>
        </w:rPr>
        <w:t>r telemedicine and remote clinical care</w:t>
      </w:r>
    </w:p>
    <w:p w14:paraId="11583039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Diversity in nutrition  including the status of diversity in the field; successful initiatives to address the lack of diversity through recruitment or within educational institutions; cultural competency; understandi</w:t>
      </w:r>
      <w:r>
        <w:rPr>
          <w:color w:val="000000"/>
        </w:rPr>
        <w:t>ng the changing demographics of patients/clients</w:t>
      </w:r>
    </w:p>
    <w:p w14:paraId="7F3EC4F5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Are we training future dietitians on implicit bias, inequity, cultural </w:t>
      </w:r>
      <w:proofErr w:type="gramStart"/>
      <w:r>
        <w:rPr>
          <w:color w:val="000000"/>
        </w:rPr>
        <w:t>competency?;</w:t>
      </w:r>
      <w:proofErr w:type="gramEnd"/>
      <w:r>
        <w:rPr>
          <w:color w:val="000000"/>
        </w:rPr>
        <w:t xml:space="preserve"> successful models/initiatives for changes in dietary education </w:t>
      </w:r>
    </w:p>
    <w:p w14:paraId="2616EB6F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Historical perspective on healthcare, its roots in European ideals and its Western medicine focus; how that </w:t>
      </w:r>
      <w:r>
        <w:rPr>
          <w:color w:val="000000"/>
        </w:rPr>
        <w:t xml:space="preserve">has impacted treatments, </w:t>
      </w:r>
      <w:proofErr w:type="gramStart"/>
      <w:r>
        <w:rPr>
          <w:color w:val="000000"/>
        </w:rPr>
        <w:t>access</w:t>
      </w:r>
      <w:proofErr w:type="gramEnd"/>
      <w:r>
        <w:rPr>
          <w:color w:val="000000"/>
        </w:rPr>
        <w:t xml:space="preserve"> and inequity</w:t>
      </w:r>
    </w:p>
    <w:p w14:paraId="5852C1B0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Bias in healthcare for black, indigenous, people of color and the LGBTQ community</w:t>
      </w:r>
    </w:p>
    <w:p w14:paraId="79DD57E6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Individuals or organizations who have success stories in addressing bias/systemic racism and insights to share</w:t>
      </w:r>
    </w:p>
    <w:p w14:paraId="3B820007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Strategies for addressing weight bias in healthcare including weight neutral approaches to health promotion</w:t>
      </w:r>
    </w:p>
    <w:p w14:paraId="0547CE8F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Clinicians interested in submitting should consider the opportunity to co-present with individuals outside of the healthcare field</w:t>
      </w:r>
    </w:p>
    <w:p w14:paraId="2ECBF867" w14:textId="77777777" w:rsidR="00E92674" w:rsidRDefault="00E9267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2054096" w14:textId="77777777" w:rsidR="00E92674" w:rsidRDefault="00BC7BDB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 xml:space="preserve">DESIRED SUBJECT </w:t>
      </w:r>
      <w:r>
        <w:rPr>
          <w:rFonts w:ascii="Overlock" w:eastAsia="Overlock" w:hAnsi="Overlock" w:cs="Overlock"/>
          <w:b/>
          <w:sz w:val="24"/>
          <w:szCs w:val="24"/>
        </w:rPr>
        <w:t>MATTER FOR TRACK 2 - CLINICAL</w:t>
      </w:r>
    </w:p>
    <w:p w14:paraId="7E8BAB08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Updated nutritional/dietary guidance or upcoming guidance as it relates to dietetic practice</w:t>
      </w:r>
    </w:p>
    <w:p w14:paraId="4F2D4B5D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Emerging trends in nutrition and diet advice from a consumer perspective – what are consumers learning via social media? Encouraging </w:t>
      </w:r>
      <w:r>
        <w:rPr>
          <w:color w:val="000000"/>
        </w:rPr>
        <w:t>evidence and combatting unproven claims</w:t>
      </w:r>
    </w:p>
    <w:p w14:paraId="17B11990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Sessions for specific practice areas: parenteral nutrition, diabetes, elder care, heart disease, prenatal, etc.</w:t>
      </w:r>
    </w:p>
    <w:p w14:paraId="002E5693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Emerging evidence on subject matter related to dietetic practice</w:t>
      </w:r>
    </w:p>
    <w:p w14:paraId="0CBBEDCB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Reimbursement trends</w:t>
      </w:r>
    </w:p>
    <w:p w14:paraId="209E348E" w14:textId="77777777" w:rsidR="00E92674" w:rsidRDefault="00E92674"/>
    <w:p w14:paraId="7052E917" w14:textId="77777777" w:rsidR="00E92674" w:rsidRDefault="00BC7BDB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DESIRED SUBJECT M</w:t>
      </w:r>
      <w:r>
        <w:rPr>
          <w:rFonts w:ascii="Overlock" w:eastAsia="Overlock" w:hAnsi="Overlock" w:cs="Overlock"/>
          <w:b/>
          <w:sz w:val="24"/>
          <w:szCs w:val="24"/>
        </w:rPr>
        <w:t>ATTER FOR TRACK 3 - LEADERSHIP</w:t>
      </w:r>
    </w:p>
    <w:p w14:paraId="37C50D2E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Public policy and advocacy</w:t>
      </w:r>
    </w:p>
    <w:p w14:paraId="1D977CA6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How to be an ally in addressing racism, </w:t>
      </w:r>
      <w:proofErr w:type="gramStart"/>
      <w:r>
        <w:rPr>
          <w:color w:val="000000"/>
        </w:rPr>
        <w:t>inequity</w:t>
      </w:r>
      <w:proofErr w:type="gramEnd"/>
      <w:r>
        <w:rPr>
          <w:color w:val="000000"/>
        </w:rPr>
        <w:t xml:space="preserve"> and social justice</w:t>
      </w:r>
    </w:p>
    <w:p w14:paraId="5795A519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Understanding your implicit bias</w:t>
      </w:r>
    </w:p>
    <w:p w14:paraId="22EBA426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White privilege in the nutrition field</w:t>
      </w:r>
    </w:p>
    <w:p w14:paraId="45050724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Knowing and promoting your value as a dietitian</w:t>
      </w:r>
    </w:p>
    <w:p w14:paraId="6CEFD8E6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Asking for a raise and other challenging work-related issues</w:t>
      </w:r>
    </w:p>
    <w:p w14:paraId="4860F42D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Exploring non-traditional career tracks in dietetic practice</w:t>
      </w:r>
    </w:p>
    <w:p w14:paraId="4A844FAB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 skills with patients/clients and colleagues</w:t>
      </w:r>
    </w:p>
    <w:p w14:paraId="50F12D7C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Self-care</w:t>
      </w:r>
    </w:p>
    <w:p w14:paraId="4F6ACA22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Strengthening your</w:t>
      </w:r>
      <w:r>
        <w:rPr>
          <w:color w:val="000000"/>
        </w:rPr>
        <w:t xml:space="preserve"> personal/professional brand</w:t>
      </w:r>
    </w:p>
    <w:p w14:paraId="4ED95D42" w14:textId="77777777" w:rsidR="00E92674" w:rsidRDefault="00E92674"/>
    <w:p w14:paraId="03DB7DD4" w14:textId="77777777" w:rsidR="00E92674" w:rsidRDefault="00BC7BDB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PROCESS</w:t>
      </w:r>
    </w:p>
    <w:p w14:paraId="1676E11F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this form and submit your proposals. You may submit up to 3 ideas for sessions within each track [link here]</w:t>
      </w:r>
    </w:p>
    <w:p w14:paraId="69A71117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will also be asked to upload your CV/Resume and a brief bio</w:t>
      </w:r>
    </w:p>
    <w:p w14:paraId="49478D5A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 will be required to disclose all</w:t>
      </w:r>
      <w:r>
        <w:t xml:space="preserve"> conflicts of interest</w:t>
      </w:r>
    </w:p>
    <w:p w14:paraId="5906820C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MAND is actively seeking speakers who identify as black, indigenous, people of color and/or LGBTQ. </w:t>
      </w:r>
    </w:p>
    <w:p w14:paraId="69B7E3B8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deadline for submissions is September 30, 2020</w:t>
      </w:r>
    </w:p>
    <w:p w14:paraId="4EA7F01F" w14:textId="77777777" w:rsidR="00E92674" w:rsidRDefault="00BC7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Speakers will be notified of their status no later than November 15, 2020</w:t>
      </w:r>
    </w:p>
    <w:p w14:paraId="1BB3ACC8" w14:textId="77777777" w:rsidR="00E92674" w:rsidRDefault="00E92674">
      <w:pPr>
        <w:rPr>
          <w:rFonts w:ascii="Overlock" w:eastAsia="Overlock" w:hAnsi="Overlock" w:cs="Overlock"/>
        </w:rPr>
      </w:pPr>
    </w:p>
    <w:p w14:paraId="56F82E20" w14:textId="77777777" w:rsidR="00E92674" w:rsidRDefault="00BC7BDB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POSSIBI</w:t>
      </w:r>
      <w:r>
        <w:rPr>
          <w:rFonts w:ascii="Overlock" w:eastAsia="Overlock" w:hAnsi="Overlock" w:cs="Overlock"/>
          <w:b/>
          <w:sz w:val="24"/>
          <w:szCs w:val="24"/>
        </w:rPr>
        <w:t>LITY OF A VIRTUAL MEETING</w:t>
      </w:r>
    </w:p>
    <w:p w14:paraId="0A0E67AE" w14:textId="77777777" w:rsidR="00E92674" w:rsidRDefault="00BC7BDB">
      <w:r>
        <w:t>MAND will be monitoring the Coronavirus Pandemic and will notify speakers of the decision to switch to a virtual meeting by March 1, 2021. If there is a virtual meeting, the dates will be the weeks of May 3</w:t>
      </w:r>
      <w:r>
        <w:rPr>
          <w:vertAlign w:val="superscript"/>
        </w:rPr>
        <w:t>rd</w:t>
      </w:r>
      <w:r>
        <w:t xml:space="preserve"> and May 10</w:t>
      </w:r>
      <w:r>
        <w:rPr>
          <w:vertAlign w:val="superscript"/>
        </w:rPr>
        <w:t>th</w:t>
      </w:r>
      <w:r>
        <w:t xml:space="preserve">, with time slots at 9a, 12 noon or 4p (CST). </w:t>
      </w:r>
    </w:p>
    <w:p w14:paraId="65AC40D2" w14:textId="77777777" w:rsidR="00E92674" w:rsidRDefault="00E92674">
      <w:pPr>
        <w:rPr>
          <w:rFonts w:ascii="Overlock" w:eastAsia="Overlock" w:hAnsi="Overlock" w:cs="Overlock"/>
        </w:rPr>
      </w:pPr>
    </w:p>
    <w:p w14:paraId="1C3FA47D" w14:textId="77777777" w:rsidR="00E92674" w:rsidRDefault="00BC7BDB">
      <w:r>
        <w:rPr>
          <w:rFonts w:ascii="Overlock" w:eastAsia="Overlock" w:hAnsi="Overlock" w:cs="Overlock"/>
          <w:b/>
          <w:sz w:val="24"/>
          <w:szCs w:val="24"/>
        </w:rPr>
        <w:t xml:space="preserve">QUESTIONS? </w:t>
      </w:r>
      <w:r>
        <w:t>Please contact us at mand@eatrightmn.org.</w:t>
      </w:r>
    </w:p>
    <w:sectPr w:rsidR="00E92674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914BB"/>
    <w:multiLevelType w:val="multilevel"/>
    <w:tmpl w:val="106C5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74"/>
    <w:rsid w:val="00BC7BDB"/>
    <w:rsid w:val="00E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000C"/>
  <w15:docId w15:val="{019DDCD9-E9EE-431D-B5EB-265E5315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1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B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3A2A"/>
      </a:accent1>
      <a:accent2>
        <a:srgbClr val="F0DD38"/>
      </a:accent2>
      <a:accent3>
        <a:srgbClr val="877E6F"/>
      </a:accent3>
      <a:accent4>
        <a:srgbClr val="B5DC10"/>
      </a:accent4>
      <a:accent5>
        <a:srgbClr val="4AAB27"/>
      </a:accent5>
      <a:accent6>
        <a:srgbClr val="31A8B8"/>
      </a:accent6>
      <a:hlink>
        <a:srgbClr val="FE3A2A"/>
      </a:hlink>
      <a:folHlink>
        <a:srgbClr val="877D6F"/>
      </a:folHlink>
    </a:clrScheme>
    <a:fontScheme name="MAND">
      <a:majorFont>
        <a:latin typeface="Berlin Sans FB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LNHX+n2mO8rAhspwUSVzj6rWQ==">AMUW2mWVJk4VE1od9tnyv0cUhEDLz1/hQaIXrnjQLzJPZzfA0SxEBQc1EhV1rdHUAJnvl9ZHpPtVPTKyTqGmlBbWgGhg04IWtjDbxNDcLBYGWV19ADN4s20=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Sternberger</dc:creator>
  <cp:lastModifiedBy>Sara Sternberger</cp:lastModifiedBy>
  <cp:revision>2</cp:revision>
  <dcterms:created xsi:type="dcterms:W3CDTF">2020-07-29T22:05:00Z</dcterms:created>
  <dcterms:modified xsi:type="dcterms:W3CDTF">2020-07-29T22:05:00Z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0x010100C43FD072672B9845BD0A101B4DA7411D</vt:lpwstr>
  </property>
</Properties>
</file>